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风力发电机组配置低电压穿越功能，风电机组具有在并网点电压跌至</w:t>
      </w:r>
      <w:r w:rsidRPr="0021393C">
        <w:rPr>
          <w:rFonts w:hAnsi="宋体" w:cs="Times New Roman"/>
          <w:noProof/>
          <w:color w:val="000000" w:themeColor="text1"/>
          <w:szCs w:val="24"/>
          <w:lang w:val="zh-CN"/>
        </w:rPr>
        <w:t xml:space="preserve"> 20</w:t>
      </w:r>
      <w:r w:rsidRPr="0021393C">
        <w:rPr>
          <w:rFonts w:hAnsi="宋体" w:cs="Times New Roman"/>
          <w:noProof/>
          <w:color w:val="000000" w:themeColor="text1"/>
          <w:szCs w:val="24"/>
          <w:lang w:val="zh-CN"/>
        </w:rPr>
        <w:t>％额定电压时能够保证不脱网连续运行</w:t>
      </w:r>
      <w:r w:rsidRPr="0021393C">
        <w:rPr>
          <w:rFonts w:hAnsi="宋体" w:cs="Times New Roman"/>
          <w:noProof/>
          <w:color w:val="000000" w:themeColor="text1"/>
          <w:szCs w:val="24"/>
          <w:lang w:val="zh-CN"/>
        </w:rPr>
        <w:t xml:space="preserve"> 625ms </w:t>
      </w:r>
      <w:r w:rsidRPr="0021393C">
        <w:rPr>
          <w:rFonts w:hAnsi="宋体" w:cs="Times New Roman"/>
          <w:noProof/>
          <w:color w:val="000000" w:themeColor="text1"/>
          <w:szCs w:val="24"/>
          <w:lang w:val="zh-CN"/>
        </w:rPr>
        <w:t>的能力；风电场并网点电压在发生跌落后</w:t>
      </w:r>
      <w:r w:rsidRPr="0021393C">
        <w:rPr>
          <w:rFonts w:hAnsi="宋体" w:cs="Times New Roman"/>
          <w:noProof/>
          <w:color w:val="000000" w:themeColor="text1"/>
          <w:szCs w:val="24"/>
          <w:lang w:val="zh-CN"/>
        </w:rPr>
        <w:t xml:space="preserve"> 2s </w:t>
      </w:r>
      <w:r w:rsidRPr="0021393C">
        <w:rPr>
          <w:rFonts w:hAnsi="宋体" w:cs="Times New Roman"/>
          <w:noProof/>
          <w:color w:val="000000" w:themeColor="text1"/>
          <w:szCs w:val="24"/>
          <w:lang w:val="zh-CN"/>
        </w:rPr>
        <w:t>内能够恢复到额定电压的</w:t>
      </w:r>
      <w:r w:rsidRPr="0021393C">
        <w:rPr>
          <w:rFonts w:hAnsi="宋体" w:cs="Times New Roman"/>
          <w:noProof/>
          <w:color w:val="000000" w:themeColor="text1"/>
          <w:szCs w:val="24"/>
          <w:lang w:val="zh-CN"/>
        </w:rPr>
        <w:t xml:space="preserve"> 90</w:t>
      </w:r>
      <w:r w:rsidRPr="0021393C">
        <w:rPr>
          <w:rFonts w:hAnsi="宋体" w:cs="Times New Roman"/>
          <w:noProof/>
          <w:color w:val="000000" w:themeColor="text1"/>
          <w:szCs w:val="24"/>
          <w:lang w:val="zh-CN"/>
        </w:rPr>
        <w:t>％时，风电机组能够保证不脱网连续运行。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风电机组应具有必要的高电压穿越能力，在并网点电压在</w:t>
      </w:r>
      <w:r w:rsidRPr="0021393C">
        <w:rPr>
          <w:rFonts w:hAnsi="宋体" w:cs="Times New Roman"/>
          <w:noProof/>
          <w:color w:val="000000" w:themeColor="text1"/>
          <w:szCs w:val="24"/>
          <w:lang w:val="zh-CN"/>
        </w:rPr>
        <w:t>0.9</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noProof/>
          <w:color w:val="000000" w:themeColor="text1"/>
          <w:szCs w:val="24"/>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应具有的频率适应性：电力系统频率在</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50.2Hz</w:t>
      </w:r>
      <w:r w:rsidRPr="0021393C">
        <w:rPr>
          <w:rFonts w:hAnsi="宋体" w:cs="Times New Roman"/>
          <w:noProof/>
          <w:color w:val="000000" w:themeColor="text1"/>
          <w:szCs w:val="24"/>
          <w:lang w:val="zh-CN"/>
        </w:rPr>
        <w:t>范围（含边界值）内时，风电机组应能正常运行。电力系统频率在</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范围（含</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）内时，风电机组应能不脱网运行</w:t>
      </w:r>
      <w:r w:rsidRPr="0021393C">
        <w:rPr>
          <w:rFonts w:hAnsi="宋体" w:cs="Times New Roman"/>
          <w:noProof/>
          <w:color w:val="000000" w:themeColor="text1"/>
          <w:szCs w:val="24"/>
          <w:lang w:val="zh-CN"/>
        </w:rPr>
        <w:t>30min</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箱式变电站大致分为欧变、美变与华变三种，优缺点比较表见</w:t>
      </w:r>
      <w:r>
        <w:rPr>
          <w:rFonts w:hAnsi="宋体" w:cs="Times New Roman"/>
          <w:noProof/>
          <w:color w:val="000000" w:themeColor="text1"/>
          <w:szCs w:val="24"/>
          <w:lang w:val="zh-CN"/>
        </w:rPr>
        <w:t>表</w:t>
      </w:r>
      <w:r>
        <w:rPr>
          <w:rFonts w:hAnsi="宋体" w:cs="Times New Roman" w:hint="eastAsia"/>
          <w:noProof/>
          <w:color w:val="000000" w:themeColor="text1"/>
          <w:szCs w:val="24"/>
          <w:lang w:val="zh-CN"/>
        </w:rPr>
        <w:t>6-</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hint="eastAsia"/>
          <w:b/>
          <w:sz w:val="21"/>
          <w:szCs w:val="21"/>
        </w:rPr>
        <w:t>表</w:t>
      </w:r>
      <w:r w:rsidRPr="0021393C">
        <w:rPr>
          <w:rFonts w:cs="Times New Roman"/>
          <w:b/>
          <w:sz w:val="21"/>
          <w:szCs w:val="21"/>
        </w:rPr>
        <w:t>6</w:t>
      </w:r>
      <w:r w:rsidRPr="0021393C">
        <w:rPr>
          <w:rFonts w:cs="Times New Roman" w:hint="eastAsia"/>
          <w:b/>
          <w:sz w:val="21"/>
          <w:szCs w:val="21"/>
        </w:rPr>
        <w:t xml:space="preserve">- </w:t>
      </w:r>
      <w:r w:rsidRPr="0021393C">
        <w:rPr>
          <w:rFonts w:cs="Times New Roman"/>
          <w:b/>
          <w:sz w:val="21"/>
          <w:szCs w:val="21"/>
        </w:rPr>
        <w:t xml:space="preserve">1                      </w:t>
      </w:r>
      <w:proofErr w:type="gramStart"/>
      <w:r w:rsidRPr="0021393C">
        <w:rPr>
          <w:rFonts w:cs="Times New Roman"/>
          <w:b/>
          <w:sz w:val="21"/>
          <w:szCs w:val="21"/>
        </w:rPr>
        <w:t>各种箱</w:t>
      </w:r>
      <w:proofErr w:type="gramEnd"/>
      <w:r w:rsidRPr="0021393C">
        <w:rPr>
          <w:rFonts w:cs="Times New Roman"/>
          <w:b/>
          <w:sz w:val="21"/>
          <w:szCs w:val="21"/>
        </w:rPr>
        <w:t>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2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优点</w:t>
            </w:r>
          </w:p>
        </w:tc>
        <w:tc>
          <w:tcPr>
            <w:tcW w:w="23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缺点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lastRenderedPageBreak/>
              <w:t>美变</w:t>
            </w:r>
            <w:proofErr w:type="gramEnd"/>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体积小，占地面积小，便于安装，价格较低</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体积小，占地面积小，便于安装，价格相对欧式箱变较低，供电可靠性较美变高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欧变</w:t>
            </w:r>
            <w:proofErr w:type="gramEnd"/>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proofErr w:type="gramStart"/>
            <w:r w:rsidRPr="0021393C">
              <w:rPr>
                <w:rFonts w:cs="Times New Roman"/>
                <w:sz w:val="21"/>
                <w:szCs w:val="21"/>
              </w:rPr>
              <w:t>辐射较</w:t>
            </w:r>
            <w:proofErr w:type="gramEnd"/>
            <w:r w:rsidRPr="0021393C">
              <w:rPr>
                <w:rFonts w:cs="Times New Roman"/>
                <w:sz w:val="21"/>
                <w:szCs w:val="21"/>
              </w:rPr>
              <w:t>美变低，供电</w:t>
            </w:r>
            <w:proofErr w:type="gramStart"/>
            <w:r w:rsidRPr="0021393C">
              <w:rPr>
                <w:rFonts w:cs="Times New Roman"/>
                <w:sz w:val="21"/>
                <w:szCs w:val="21"/>
              </w:rPr>
              <w:t>可靠性较华变高</w:t>
            </w:r>
            <w:proofErr w:type="gramEnd"/>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价格高，不便增容，体积较大</w:t>
            </w:r>
          </w:p>
        </w:tc>
      </w:tr>
    </w:tbl>
    <w:p w:rsidR="00D1197B" w:rsidRPr="0021393C" w:rsidRDefault="00D1197B" w:rsidP="00D1197B">
      <w:pPr>
        <w:autoSpaceDE w:val="0"/>
        <w:autoSpaceDN w:val="0"/>
        <w:adjustRightInd w:val="0"/>
        <w:ind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美式箱变内部主要包括油浸变压器，低压断路器，高压负荷开关、插拔式熔断器、避雷器等。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全密封三相双绕组油浸、无载调压低损耗电力变压器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2750kVA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电压等级：</w:t>
      </w:r>
      <w:r w:rsidRPr="0021393C">
        <w:rPr>
          <w:rFonts w:hAnsi="宋体" w:cs="Times New Roman"/>
          <w:noProof/>
          <w:color w:val="000000" w:themeColor="text1"/>
          <w:szCs w:val="24"/>
          <w:lang w:val="zh-CN"/>
        </w:rPr>
        <w:tab/>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短路阻抗：</w:t>
      </w:r>
      <w:r w:rsidRPr="0021393C">
        <w:rPr>
          <w:rFonts w:hAnsi="宋体" w:cs="Times New Roman"/>
          <w:noProof/>
          <w:color w:val="000000" w:themeColor="text1"/>
          <w:szCs w:val="24"/>
          <w:lang w:val="zh-CN"/>
        </w:rPr>
        <w:tab/>
        <w:t>6.5%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hint="eastAsia"/>
          <w:noProof/>
          <w:color w:val="000000" w:themeColor="text1"/>
          <w:szCs w:val="24"/>
          <w:lang w:val="zh-CN"/>
        </w:rPr>
        <w:t>的主变压器，拟选用三相铜芯双绕组有载调压变压器。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SZ11-</w:t>
      </w:r>
      <w:r>
        <w:rPr>
          <w:rFonts w:hAnsi="宋体" w:cs="Times New Roman"/>
          <w:noProof/>
          <w:color w:val="000000" w:themeColor="text1"/>
          <w:szCs w:val="24"/>
          <w:lang w:val="zh-CN"/>
        </w:rPr>
        <w:t>10</w:t>
      </w:r>
      <w:r w:rsidRPr="0021393C">
        <w:rPr>
          <w:rFonts w:hAnsi="宋体" w:cs="Times New Roman"/>
          <w:noProof/>
          <w:color w:val="000000" w:themeColor="text1"/>
          <w:szCs w:val="24"/>
          <w:lang w:val="zh-CN"/>
        </w:rPr>
        <w:t>0000/110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100MVA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1.25%/37kV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YNd11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Ud=10.5%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噪音：</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不大于</w:t>
      </w:r>
      <w:r w:rsidRPr="0021393C">
        <w:rPr>
          <w:rFonts w:hAnsi="宋体" w:cs="Times New Roman"/>
          <w:noProof/>
          <w:color w:val="000000" w:themeColor="text1"/>
          <w:szCs w:val="24"/>
          <w:lang w:val="zh-CN"/>
        </w:rPr>
        <w:t>65dB</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有载调压开关：采用国产或进口有载调压开关。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主变压器接地方式：</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中性点接地方式采用经中性点接地保护装置（隔离开关、避雷器和放电间隙）接地。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主变中性点接地保护装置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变压器额定电压：</w:t>
      </w:r>
      <w:r w:rsidRPr="0021393C">
        <w:rPr>
          <w:rFonts w:hAnsi="宋体" w:cs="Times New Roman"/>
          <w:noProof/>
          <w:color w:val="000000" w:themeColor="text1"/>
          <w:szCs w:val="24"/>
          <w:lang w:val="zh-CN"/>
        </w:rPr>
        <w:t>110kV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变压器中性点耐受</w:t>
      </w:r>
      <w:r w:rsidRPr="0021393C">
        <w:rPr>
          <w:rFonts w:hAnsi="宋体" w:cs="Times New Roman" w:hint="eastAsia"/>
          <w:noProof/>
          <w:color w:val="000000" w:themeColor="text1"/>
          <w:szCs w:val="24"/>
          <w:lang w:val="zh-CN"/>
        </w:rPr>
        <w:t>电流</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50kA</w:t>
      </w:r>
      <w:r w:rsidRPr="0021393C">
        <w:rPr>
          <w:rFonts w:hAnsi="宋体" w:cs="Times New Roman"/>
          <w:noProof/>
          <w:color w:val="000000" w:themeColor="text1"/>
          <w:szCs w:val="24"/>
          <w:lang w:val="zh-CN"/>
        </w:rPr>
        <w:t>（峰值）</w:t>
      </w:r>
      <w:r w:rsidRPr="0021393C">
        <w:rPr>
          <w:rFonts w:hAnsi="宋体" w:cs="Times New Roman"/>
          <w:noProof/>
          <w:color w:val="000000" w:themeColor="text1"/>
          <w:szCs w:val="24"/>
          <w:lang w:val="zh-CN"/>
        </w:rPr>
        <w:t>20kA/4s</w:t>
      </w:r>
      <w:r w:rsidRPr="0021393C">
        <w:rPr>
          <w:rFonts w:hAnsi="宋体" w:cs="Times New Roman"/>
          <w:noProof/>
          <w:color w:val="000000" w:themeColor="text1"/>
          <w:szCs w:val="24"/>
          <w:lang w:val="zh-CN"/>
        </w:rPr>
        <w:t>（短时）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氧化锌避雷器：</w:t>
      </w:r>
      <w:r w:rsidRPr="0021393C">
        <w:rPr>
          <w:rFonts w:hAnsi="宋体" w:cs="Times New Roman"/>
          <w:noProof/>
          <w:color w:val="000000" w:themeColor="text1"/>
          <w:szCs w:val="24"/>
          <w:lang w:val="zh-CN"/>
        </w:rPr>
        <w:tab/>
        <w:t>YH1.5WZ-72/186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放电间隙：</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100/1A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5P30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配电装置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配电装置选用户外</w:t>
      </w:r>
      <w:r w:rsidRPr="0021393C">
        <w:rPr>
          <w:rFonts w:hAnsi="宋体" w:cs="Times New Roman" w:hint="eastAsia"/>
          <w:noProof/>
          <w:color w:val="000000" w:themeColor="text1"/>
          <w:szCs w:val="24"/>
          <w:lang w:val="zh-CN"/>
        </w:rPr>
        <w:t>GIS</w:t>
      </w:r>
      <w:r w:rsidRPr="0021393C">
        <w:rPr>
          <w:rFonts w:hAnsi="宋体" w:cs="Times New Roman" w:hint="eastAsia"/>
          <w:noProof/>
          <w:color w:val="000000" w:themeColor="text1"/>
          <w:szCs w:val="24"/>
          <w:lang w:val="zh-CN"/>
        </w:rPr>
        <w:t>设备，</w:t>
      </w:r>
      <w:r w:rsidRPr="0021393C">
        <w:rPr>
          <w:rFonts w:hAnsi="宋体" w:cs="Times New Roman" w:hint="eastAsia"/>
          <w:noProof/>
          <w:color w:val="000000" w:themeColor="text1"/>
          <w:szCs w:val="21"/>
          <w:lang w:val="zh-CN"/>
        </w:rPr>
        <w:t>GIS</w:t>
      </w:r>
      <w:r w:rsidRPr="0021393C">
        <w:rPr>
          <w:rFonts w:hAnsi="宋体" w:cs="Times New Roman"/>
          <w:noProof/>
          <w:color w:val="000000" w:themeColor="text1"/>
          <w:szCs w:val="24"/>
          <w:lang w:val="zh-CN"/>
        </w:rPr>
        <w:t>占地面积和空间小，维护工作量小，适应性强，运行可靠性高，更适合本项目条件。主要技术参数如下</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 xml:space="preserve">                </w:t>
      </w:r>
      <w:r w:rsidRPr="0021393C">
        <w:rPr>
          <w:rFonts w:hAnsi="宋体" w:cs="Times New Roman" w:hint="eastAsia"/>
          <w:noProof/>
          <w:color w:val="000000" w:themeColor="text1"/>
          <w:szCs w:val="24"/>
          <w:lang w:val="zh-CN"/>
        </w:rPr>
        <w:t>户外</w:t>
      </w:r>
      <w:r w:rsidRPr="0021393C">
        <w:rPr>
          <w:rFonts w:hAnsi="宋体" w:cs="Times New Roman" w:hint="eastAsia"/>
          <w:noProof/>
          <w:color w:val="000000" w:themeColor="text1"/>
          <w:szCs w:val="24"/>
          <w:lang w:val="zh-CN"/>
        </w:rPr>
        <w:t>GIS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126kV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2000A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额定开断电流：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额定关合电流：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额定峰值耐受电流：</w:t>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40kA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出线间隔：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m:oMath>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110</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0.2/0.5/3P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避雷器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YH10WZ-108/281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避雷器额定电压（有效值）：</w:t>
      </w:r>
      <w:r w:rsidRPr="0021393C">
        <w:rPr>
          <w:rFonts w:hAnsi="宋体" w:cs="Times New Roman"/>
          <w:noProof/>
          <w:color w:val="000000" w:themeColor="text1"/>
          <w:szCs w:val="24"/>
          <w:lang w:val="zh-CN"/>
        </w:rPr>
        <w:tab/>
        <w:t>108kV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避雷器持续运行电压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有效值</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84kV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避雷器的标称放电电流：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雷电冲击电流残压（峰值）：</w:t>
      </w:r>
      <w:r w:rsidRPr="0021393C">
        <w:rPr>
          <w:rFonts w:hAnsi="宋体" w:cs="Times New Roman"/>
          <w:noProof/>
          <w:color w:val="000000" w:themeColor="text1"/>
          <w:szCs w:val="24"/>
          <w:lang w:val="zh-CN"/>
        </w:rPr>
        <w:tab/>
        <w:t>281kV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移开式开关柜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）风机进线柜（共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）主变出线柜（共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w:t>
      </w:r>
      <w:r w:rsidRPr="0021393C">
        <w:rPr>
          <w:rFonts w:hAnsi="宋体" w:cs="Times New Roman"/>
          <w:noProof/>
          <w:color w:val="000000" w:themeColor="text1"/>
          <w:szCs w:val="24"/>
          <w:lang w:val="zh-CN"/>
        </w:rPr>
        <w:t>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）站用变柜（共</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）无功补偿装置柜（共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）接地变柜（共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 xml:space="preserve"> 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只（每套）：</w:t>
      </w:r>
      <w:r w:rsidRPr="0021393C">
        <w:rPr>
          <w:rFonts w:hAnsi="宋体" w:cs="Times New Roman"/>
          <w:noProof/>
          <w:color w:val="000000" w:themeColor="text1"/>
          <w:szCs w:val="24"/>
          <w:lang w:val="zh-CN"/>
        </w:rPr>
        <w:tab/>
        <w:t>YH5WZ-51/134</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 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3:0.1/3</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0.2/0.5/3P/3P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高压熔断器：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。为了确保继电保护整定值满足可靠性、速动性、选择性及灵敏性的要求，接地电阻装置阻值为</w:t>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DKSC-150/37</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入地阻性电流：</w:t>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51.32</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电阻阻值：</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通流时间：</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7</w:t>
      </w:r>
      <w:r w:rsidRPr="0021393C">
        <w:rPr>
          <w:rFonts w:hAnsi="宋体" w:cs="Times New Roman"/>
          <w:noProof/>
          <w:color w:val="000000" w:themeColor="text1"/>
          <w:szCs w:val="24"/>
          <w:lang w:val="zh-CN"/>
        </w:rPr>
        <w:t>）站用变压器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站用变压器采用干式变压器，具体参数如下：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SCB11-400/37kV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额定电压分接范围：</w:t>
      </w:r>
      <w:r w:rsidRPr="0021393C">
        <w:rPr>
          <w:rFonts w:hAnsi="宋体" w:cs="Times New Roman"/>
          <w:noProof/>
          <w:color w:val="000000" w:themeColor="text1"/>
          <w:szCs w:val="24"/>
          <w:lang w:val="zh-CN"/>
        </w:rPr>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联接组别：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）无功补偿装置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目前，无功补偿装置主要有：</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、并联电容器组，</w:t>
      </w:r>
      <w:r w:rsidRPr="0021393C">
        <w:rPr>
          <w:rFonts w:hAnsi="宋体" w:cs="Times New Roman"/>
          <w:noProof/>
          <w:color w:val="000000" w:themeColor="text1"/>
          <w:szCs w:val="24"/>
          <w:lang w:val="zh-CN"/>
        </w:rPr>
        <w:t>FC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、静止无功补偿装置，</w:t>
      </w:r>
      <w:r w:rsidRPr="0021393C">
        <w:rPr>
          <w:rFonts w:hAnsi="宋体" w:cs="Times New Roman"/>
          <w:noProof/>
          <w:color w:val="000000" w:themeColor="text1"/>
          <w:szCs w:val="24"/>
          <w:lang w:val="zh-CN"/>
        </w:rPr>
        <w:t>TCR-SVC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、静止无功发生器，</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。各种无功补偿装置优缺点见</w:t>
      </w:r>
      <w:r>
        <w:rPr>
          <w:rFonts w:hAnsi="宋体" w:cs="Times New Roman" w:hint="eastAsia"/>
          <w:noProof/>
          <w:color w:val="000000" w:themeColor="text1"/>
          <w:szCs w:val="24"/>
          <w:lang w:val="zh-CN"/>
        </w:rPr>
        <w:t>表</w:t>
      </w:r>
      <w:r>
        <w:rPr>
          <w:rFonts w:hAnsi="宋体" w:cs="Times New Roman" w:hint="eastAsia"/>
          <w:noProof/>
          <w:color w:val="000000" w:themeColor="text1"/>
          <w:szCs w:val="24"/>
          <w:lang w:val="zh-CN"/>
        </w:rPr>
        <w:t>6-</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6- 2                  </w:t>
      </w:r>
      <w:r w:rsidRPr="0021393C">
        <w:rPr>
          <w:rFonts w:cs="Times New Roman"/>
          <w:b/>
          <w:sz w:val="21"/>
          <w:szCs w:val="21"/>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21393C"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响应时间很快（一般约为</w:t>
            </w:r>
            <w:r w:rsidRPr="0021393C">
              <w:rPr>
                <w:rFonts w:cs="Times New Roman"/>
                <w:sz w:val="21"/>
                <w:szCs w:val="21"/>
              </w:rPr>
              <w:t>20ms</w:t>
            </w:r>
            <w:r w:rsidRPr="0021393C">
              <w:rPr>
                <w:rFonts w:cs="Times New Roman"/>
                <w:sz w:val="21"/>
                <w:szCs w:val="21"/>
              </w:rPr>
              <w:t>），可</w:t>
            </w:r>
            <w:proofErr w:type="gramStart"/>
            <w:r w:rsidRPr="0021393C">
              <w:rPr>
                <w:rFonts w:cs="Times New Roman"/>
                <w:sz w:val="21"/>
                <w:szCs w:val="21"/>
              </w:rPr>
              <w:t>感性到容性</w:t>
            </w:r>
            <w:proofErr w:type="gramEnd"/>
            <w:r w:rsidRPr="0021393C">
              <w:rPr>
                <w:rFonts w:cs="Times New Roman"/>
                <w:sz w:val="21"/>
                <w:szCs w:val="21"/>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响应时间最快（一般约为</w:t>
            </w:r>
            <w:r w:rsidRPr="0021393C">
              <w:rPr>
                <w:rFonts w:cs="Times New Roman"/>
                <w:sz w:val="21"/>
                <w:szCs w:val="21"/>
              </w:rPr>
              <w:t>10ms</w:t>
            </w:r>
            <w:r w:rsidRPr="0021393C">
              <w:rPr>
                <w:rFonts w:cs="Times New Roman"/>
                <w:sz w:val="21"/>
                <w:szCs w:val="21"/>
              </w:rPr>
              <w:t>以内），，可</w:t>
            </w:r>
            <w:proofErr w:type="gramStart"/>
            <w:r w:rsidRPr="0021393C">
              <w:rPr>
                <w:rFonts w:cs="Times New Roman"/>
                <w:sz w:val="21"/>
                <w:szCs w:val="21"/>
              </w:rPr>
              <w:t>感性到容性</w:t>
            </w:r>
            <w:proofErr w:type="gramEnd"/>
            <w:r w:rsidRPr="0021393C">
              <w:rPr>
                <w:rFonts w:cs="Times New Roman"/>
                <w:sz w:val="21"/>
                <w:szCs w:val="21"/>
              </w:rPr>
              <w:t>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主变出线柜与主变压器低压侧的连接选用绝缘铜管母线。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全屏蔽绝缘铜管母线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最高运行电压：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2500</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额定热稳定电流（</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额定动稳定电流（峰值）：</w:t>
      </w:r>
      <w:r w:rsidRPr="0021393C">
        <w:rPr>
          <w:rFonts w:hAnsi="宋体" w:cs="Times New Roman"/>
          <w:noProof/>
          <w:color w:val="000000" w:themeColor="text1"/>
          <w:szCs w:val="24"/>
          <w:lang w:val="zh-CN"/>
        </w:rPr>
        <w:t>80kA</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6.3.5</w:t>
      </w:r>
      <w:r w:rsidRPr="0021393C">
        <w:rPr>
          <w:b/>
          <w:bCs/>
          <w:sz w:val="32"/>
          <w:szCs w:val="32"/>
        </w:rPr>
        <w:t>过电压保护与绝缘配合</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6.3.5.1</w:t>
      </w:r>
      <w:r w:rsidRPr="0021393C">
        <w:rPr>
          <w:rFonts w:eastAsia="黑体" w:hAnsi="宋体" w:cs="Times New Roman"/>
          <w:noProof/>
          <w:color w:val="000000" w:themeColor="text1"/>
          <w:sz w:val="28"/>
          <w:szCs w:val="24"/>
          <w:lang w:val="zh-CN"/>
        </w:rPr>
        <w:t>风电场内过电压保护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根据《交流电气装置的过电压保护和绝缘配合设计规范》</w:t>
      </w:r>
      <w:r w:rsidRPr="0021393C">
        <w:rPr>
          <w:rFonts w:hAnsi="宋体" w:cs="Times New Roman"/>
          <w:noProof/>
          <w:color w:val="000000" w:themeColor="text1"/>
          <w:szCs w:val="24"/>
          <w:lang w:val="zh-CN"/>
        </w:rPr>
        <w:t>GB/T50064-2011</w:t>
      </w:r>
      <w:r w:rsidRPr="0021393C">
        <w:rPr>
          <w:rFonts w:hAnsi="宋体" w:cs="Times New Roman"/>
          <w:noProof/>
          <w:color w:val="000000" w:themeColor="text1"/>
          <w:szCs w:val="24"/>
          <w:lang w:val="zh-CN"/>
        </w:rPr>
        <w:t>规定，</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6.3.5.2</w:t>
      </w:r>
      <w:r w:rsidRPr="0021393C">
        <w:rPr>
          <w:rFonts w:eastAsia="黑体" w:hAnsi="宋体" w:cs="Times New Roman"/>
          <w:noProof/>
          <w:color w:val="000000" w:themeColor="text1"/>
          <w:sz w:val="28"/>
          <w:szCs w:val="24"/>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）主变压器中性点装设金属氧化物避雷器一只，并装有接地隔离开关和放电间隙，以方便接地运行方式的选择。</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6.3.6</w:t>
      </w:r>
      <w:r w:rsidRPr="0021393C">
        <w:rPr>
          <w:b/>
          <w:bCs/>
          <w:sz w:val="32"/>
          <w:szCs w:val="32"/>
        </w:rPr>
        <w:t>接地</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6.3.6.1</w:t>
      </w:r>
      <w:r w:rsidRPr="0021393C">
        <w:rPr>
          <w:rFonts w:eastAsia="黑体" w:hAnsi="宋体" w:cs="Times New Roman"/>
          <w:noProof/>
          <w:color w:val="000000" w:themeColor="text1"/>
          <w:sz w:val="28"/>
          <w:szCs w:val="24"/>
          <w:lang w:val="zh-CN"/>
        </w:rPr>
        <w:t>风电场内电气设备的接地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6.3.6.2</w:t>
      </w:r>
      <w:r w:rsidRPr="0021393C">
        <w:rPr>
          <w:rFonts w:eastAsia="黑体" w:hAnsi="宋体" w:cs="Times New Roman"/>
          <w:noProof/>
          <w:color w:val="000000" w:themeColor="text1"/>
          <w:sz w:val="28"/>
          <w:szCs w:val="24"/>
          <w:lang w:val="zh-CN"/>
        </w:rPr>
        <w:t>变电站内电气设备的接地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站为大接地短路电流系统，对保护接地、工作接地和过电压保护接地使用一个总的接地装置，本工程暂按不大于</w:t>
      </w:r>
      <w:r w:rsidRPr="0021393C">
        <w:rPr>
          <w:rFonts w:hAnsi="宋体" w:cs="Times New Roman"/>
          <w:noProof/>
          <w:color w:val="000000" w:themeColor="text1"/>
          <w:szCs w:val="24"/>
          <w:lang w:val="zh-CN"/>
        </w:rPr>
        <w:t>0.5</w:t>
      </w:r>
      <w:r w:rsidRPr="0021393C">
        <w:rPr>
          <w:rFonts w:hAnsi="宋体" w:cs="Times New Roman"/>
          <w:noProof/>
          <w:color w:val="000000" w:themeColor="text1"/>
          <w:szCs w:val="24"/>
          <w:lang w:val="zh-CN"/>
        </w:rPr>
        <w:t>Ω设计。</w:t>
      </w:r>
    </w:p>
    <w:p w:rsidR="00613C57"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站的接地网为以水平接地网为主，垂直接地极</w:t>
      </w:r>
      <w:r w:rsidRPr="0021393C">
        <w:rPr>
          <w:rFonts w:hAnsi="宋体" w:cs="Times New Roman" w:hint="eastAsia"/>
          <w:noProof/>
          <w:color w:val="000000" w:themeColor="text1"/>
          <w:szCs w:val="24"/>
          <w:lang w:val="zh-CN"/>
        </w:rPr>
        <w:t>为</w:t>
      </w:r>
      <w:r w:rsidRPr="0021393C">
        <w:rPr>
          <w:rFonts w:hAnsi="宋体" w:cs="Times New Roman"/>
          <w:noProof/>
          <w:color w:val="000000" w:themeColor="text1"/>
          <w:szCs w:val="24"/>
          <w:lang w:val="zh-CN"/>
        </w:rPr>
        <w:t>铺的复合环形封闭式接地网。在构架避雷针、独立避雷针和避雷器处设集中接地装置，且与主接地网连接。水平接地线拟采用</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5mm</w:t>
      </w:r>
      <w:r w:rsidRPr="0021393C">
        <w:rPr>
          <w:rFonts w:hAnsi="宋体" w:cs="Times New Roman"/>
          <w:noProof/>
          <w:color w:val="000000" w:themeColor="text1"/>
          <w:szCs w:val="24"/>
          <w:lang w:val="zh-CN"/>
        </w:rPr>
        <w:t>的热镀锌扁钢，敷设深度离地面大于</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，垂直接地极采用</w:t>
      </w:r>
      <w:r w:rsidRPr="0021393C">
        <w:rPr>
          <w:rFonts w:ascii="宋体" w:hAnsi="宋体" w:cs="宋体" w:hint="eastAsia"/>
          <w:noProof/>
          <w:color w:val="000000" w:themeColor="text1"/>
          <w:szCs w:val="24"/>
          <w:lang w:val="zh-CN"/>
        </w:rPr>
        <w:t>∠</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2500mm</w:t>
      </w:r>
      <w:r w:rsidR="00613C57">
        <w:rPr>
          <w:rFonts w:hAnsi="宋体" w:cs="Times New Roman"/>
          <w:noProof/>
          <w:color w:val="000000" w:themeColor="text1"/>
          <w:szCs w:val="24"/>
          <w:lang w:val="zh-CN"/>
        </w:rPr>
        <w:t xml:space="preserve"> </w:t>
      </w:r>
      <w:r w:rsidR="00613C57">
        <w:rPr>
          <w:rFonts w:ascii="宋体" w:hAnsi="宋体" w:cs="Arial" w:hint="eastAsia"/>
          <w:kern w:val="0"/>
          <w:sz w:val="21"/>
          <w:szCs w:val="21"/>
        </w:rPr>
        <w:t xml:space="preserve">-60×5mm</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8"/>
          <w:lang w:val="zh-CN"/>
        </w:rPr>
      </w:pPr>
      <w:r w:rsidRPr="0021393C">
        <w:rPr>
          <w:rFonts w:hAnsi="宋体" w:cs="Times New Roman"/>
          <w:noProof/>
          <w:color w:val="000000" w:themeColor="text1"/>
          <w:szCs w:val="24"/>
          <w:lang w:val="zh-CN"/>
        </w:rPr>
        <w:t>长的热镀锌角钢。</w:t>
      </w:r>
      <w:r w:rsidRPr="0021393C">
        <w:rPr>
          <w:rFonts w:hAnsi="宋体" w:cs="Times New Roman" w:hint="eastAsia"/>
          <w:noProof/>
          <w:color w:val="000000" w:themeColor="text1"/>
          <w:szCs w:val="28"/>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减小均压网孔的尺寸，验算接触电势和跨步电势；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20cm</w:t>
        </w:r>
      </w:smartTag>
      <w:r w:rsidRPr="0021393C">
        <w:rPr>
          <w:rFonts w:hAnsi="宋体" w:cs="Times New Roman"/>
          <w:noProof/>
          <w:color w:val="000000" w:themeColor="text1"/>
          <w:szCs w:val="24"/>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9"/>
        <w:gridCol w:w="1839"/>
        <w:gridCol w:w="1228"/>
        <w:gridCol w:w="1191"/>
        <w:gridCol w:w="165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额定容量(kW)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安装(kW)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运行(kW)</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直流充电装置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生活水泵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深井水泵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室内消防水泵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室外消防水泵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121</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SVG工业空调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厨房动力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230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r>
      <w:tr w:rsidR="0031660E" w:rsidTr="00A533D9">
        <w:trPr>
          <w:trHeight w:val="231"/>
          <w:jc w:val="center"/>
        </w:trPr>
        <w:tc>
          <w:tcPr>
            <w:gridSpan w:val="5"/>
            <w:tcW w:w="0" w:type="auto"/>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6.3.7.2</w:t>
      </w:r>
      <w:r w:rsidRPr="0021393C">
        <w:rPr>
          <w:rFonts w:eastAsia="黑体" w:hAnsi="宋体" w:cs="Times New Roman"/>
          <w:noProof/>
          <w:color w:val="000000" w:themeColor="text1"/>
          <w:sz w:val="28"/>
          <w:szCs w:val="24"/>
          <w:lang w:val="zh-CN"/>
        </w:rPr>
        <w:t>照明</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照明电源系统根据运行需要和事故处理时照明的重要性确定。其电源分交流电源和直流电源两种。</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分钟。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所有光源及灯具应优先选用高效节能型合格产品，室内均采用性能优越、低能耗的三基色</w:t>
      </w:r>
      <w:r w:rsidRPr="0021393C">
        <w:rPr>
          <w:rFonts w:hAnsi="宋体" w:cs="Times New Roman"/>
          <w:noProof/>
          <w:color w:val="000000" w:themeColor="text1"/>
          <w:szCs w:val="24"/>
          <w:lang w:val="zh-CN"/>
        </w:rPr>
        <w:t>T8</w:t>
      </w:r>
      <w:r w:rsidRPr="0021393C">
        <w:rPr>
          <w:rFonts w:hAnsi="宋体" w:cs="Times New Roman"/>
          <w:noProof/>
          <w:color w:val="000000" w:themeColor="text1"/>
          <w:szCs w:val="24"/>
          <w:lang w:val="zh-CN"/>
        </w:rPr>
        <w:t>系列荧光灯，公共场所可采用</w:t>
      </w:r>
      <w:r w:rsidRPr="0021393C">
        <w:rPr>
          <w:rFonts w:hAnsi="宋体" w:cs="Times New Roman"/>
          <w:noProof/>
          <w:color w:val="000000" w:themeColor="text1"/>
          <w:szCs w:val="24"/>
          <w:lang w:val="zh-CN"/>
        </w:rPr>
        <w:t>LED</w:t>
      </w:r>
      <w:r w:rsidRPr="0021393C">
        <w:rPr>
          <w:rFonts w:hAnsi="宋体" w:cs="Times New Roman"/>
          <w:noProof/>
          <w:color w:val="000000" w:themeColor="text1"/>
          <w:szCs w:val="24"/>
          <w:lang w:val="zh-CN"/>
        </w:rPr>
        <w:t>照明灯具。照明方案根据其使用功能的不同要求，在照明灯具的控制系统中，采用分区、分时控制开、关，在人员短暂停留的场所采用自熄式的节能开关。</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变电站的道路两旁装设路灯，户外变电场四周装设落地投光灯照明；</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主控室要求光线柔和，无阴影及照度均匀，采用漫射配光、嵌入式栅格荧光灯。工作照明照度不小于</w:t>
      </w:r>
      <w:r w:rsidRPr="0021393C">
        <w:rPr>
          <w:rFonts w:hAnsi="宋体" w:cs="Times New Roman"/>
          <w:noProof/>
          <w:color w:val="000000" w:themeColor="text1"/>
          <w:szCs w:val="24"/>
          <w:lang w:val="zh-CN"/>
        </w:rPr>
        <w:t>500lx</w:t>
      </w:r>
      <w:r w:rsidRPr="0021393C">
        <w:rPr>
          <w:rFonts w:hAnsi="宋体" w:cs="Times New Roman"/>
          <w:noProof/>
          <w:color w:val="000000" w:themeColor="text1"/>
          <w:szCs w:val="24"/>
          <w:lang w:val="zh-CN"/>
        </w:rPr>
        <w:t>，均匀度不小于</w:t>
      </w:r>
      <w:r w:rsidRPr="0021393C">
        <w:rPr>
          <w:rFonts w:hAnsi="宋体" w:cs="Times New Roman"/>
          <w:noProof/>
          <w:color w:val="000000" w:themeColor="text1"/>
          <w:szCs w:val="24"/>
          <w:lang w:val="zh-CN"/>
        </w:rPr>
        <w:t>0.7</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30lx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办公室和标准房间采用荧光灯，照度不小于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高低压配电装置室的工作照明照度不小于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10lx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走廊与楼梯通道采用吸顶灯和疏散指示灯。</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6.3.8</w:t>
      </w:r>
      <w:r w:rsidRPr="0021393C">
        <w:rPr>
          <w:b/>
          <w:bCs/>
          <w:sz w:val="32"/>
          <w:szCs w:val="32"/>
        </w:rPr>
        <w:t>电气设备布置</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6.3.8.1</w:t>
      </w:r>
      <w:r w:rsidRPr="0021393C">
        <w:rPr>
          <w:rFonts w:eastAsia="黑体" w:hAnsi="宋体" w:cs="Times New Roman"/>
          <w:noProof/>
          <w:color w:val="000000" w:themeColor="text1"/>
          <w:sz w:val="28"/>
          <w:szCs w:val="24"/>
          <w:lang w:val="zh-CN"/>
        </w:rPr>
        <w:t>变电站内电气设备布置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本变电站布置成矩形布置，分为设备区和生活管理区两部分，设备区位于变电站西侧，生活管理区位于东侧。电气平面布置力求紧凑合理，出线方便，节约投资，设备区由</w:t>
      </w:r>
      <w:r w:rsidRPr="0021393C">
        <w:rPr>
          <w:rFonts w:hAnsi="宋体" w:cs="Times New Roman" w:hint="eastAsia"/>
          <w:noProof/>
          <w:color w:val="000000" w:themeColor="text1"/>
          <w:szCs w:val="24"/>
          <w:lang w:val="zh-CN"/>
        </w:rPr>
        <w:t>南</w:t>
      </w:r>
      <w:r w:rsidRPr="0021393C">
        <w:rPr>
          <w:rFonts w:hAnsi="宋体" w:cs="Times New Roman"/>
          <w:noProof/>
          <w:color w:val="000000" w:themeColor="text1"/>
          <w:szCs w:val="24"/>
          <w:lang w:val="zh-CN"/>
        </w:rPr>
        <w:t>到</w:t>
      </w:r>
      <w:r w:rsidRPr="0021393C">
        <w:rPr>
          <w:rFonts w:hAnsi="宋体" w:cs="Times New Roman" w:hint="eastAsia"/>
          <w:noProof/>
          <w:color w:val="000000" w:themeColor="text1"/>
          <w:szCs w:val="24"/>
          <w:lang w:val="zh-CN"/>
        </w:rPr>
        <w:t>北</w:t>
      </w:r>
      <w:r w:rsidRPr="0021393C">
        <w:rPr>
          <w:rFonts w:hAnsi="宋体" w:cs="Times New Roman"/>
          <w:noProof/>
          <w:color w:val="000000" w:themeColor="text1"/>
          <w:szCs w:val="24"/>
          <w:lang w:val="zh-CN"/>
        </w:rPr>
        <w:t>，依次为</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，设备楼、主变压器和接地变压器及户外</w:t>
      </w:r>
      <w:r w:rsidRPr="0021393C">
        <w:rPr>
          <w:rFonts w:hAnsi="宋体" w:cs="Times New Roman"/>
          <w:noProof/>
          <w:color w:val="000000" w:themeColor="text1"/>
          <w:szCs w:val="24"/>
          <w:lang w:val="zh-CN"/>
        </w:rPr>
        <w:t>GIS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其中设备楼为一层，设备楼内由西往东，由北往南布置有站用变压器、室、</w:t>
      </w:r>
      <w:r w:rsidRPr="0021393C">
        <w:rPr>
          <w:rFonts w:hAnsi="宋体" w:cs="Times New Roman"/>
          <w:noProof/>
          <w:color w:val="000000" w:themeColor="text1"/>
          <w:szCs w:val="24"/>
          <w:lang w:val="zh-CN"/>
        </w:rPr>
        <w:lastRenderedPageBreak/>
        <w:t>蓄电池、低压配电室、继保通信室、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开关柜室。</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6.3.8.2</w:t>
      </w:r>
      <w:r w:rsidRPr="0021393C">
        <w:rPr>
          <w:rFonts w:eastAsia="黑体" w:hAnsi="宋体" w:cs="Times New Roman"/>
          <w:noProof/>
          <w:color w:val="000000" w:themeColor="text1"/>
          <w:sz w:val="28"/>
          <w:szCs w:val="24"/>
          <w:lang w:val="zh-CN"/>
        </w:rPr>
        <w:t>风场内电气设备布置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）箱式变电站布置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箱式变电站布置根据风力发电机布置位置，箱式变电器布置在风力发电机塔筒中心</w:t>
      </w:r>
      <w:r w:rsidRPr="0021393C">
        <w:rPr>
          <w:rFonts w:hAnsi="宋体" w:cs="Times New Roman"/>
          <w:noProof/>
          <w:color w:val="000000" w:themeColor="text1"/>
          <w:szCs w:val="24"/>
          <w:lang w:val="zh-CN"/>
        </w:rPr>
        <w:t>20m</w:t>
      </w:r>
      <w:r w:rsidRPr="0021393C">
        <w:rPr>
          <w:rFonts w:hAnsi="宋体" w:cs="Times New Roman"/>
          <w:noProof/>
          <w:color w:val="000000" w:themeColor="text1"/>
          <w:szCs w:val="24"/>
          <w:lang w:val="zh-CN"/>
        </w:rPr>
        <w:t>左右，现场定位时考虑地形、设备运输、安装方便。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集电线路采用直埋电缆和架空线路混合方案。集电线路中</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上塔部分采用电缆连接。风机</w:t>
      </w:r>
      <w:r w:rsidRPr="0021393C">
        <w:rPr>
          <w:rFonts w:hAnsi="宋体" w:cs="Times New Roman" w:hint="eastAsia"/>
          <w:noProof/>
          <w:color w:val="000000" w:themeColor="text1"/>
          <w:szCs w:val="24"/>
          <w:lang w:val="zh-CN"/>
        </w:rPr>
        <w:t>与风机之间、风机</w:t>
      </w:r>
      <w:r w:rsidRPr="0021393C">
        <w:rPr>
          <w:rFonts w:hAnsi="宋体" w:cs="Times New Roman"/>
          <w:noProof/>
          <w:color w:val="000000" w:themeColor="text1"/>
          <w:szCs w:val="24"/>
          <w:lang w:val="zh-CN"/>
        </w:rPr>
        <w:t>至</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风力发电机组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2500kW  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美式箱式变电站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2750kVA  37/0.69kV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ZRC-YJV22-0.6/1kV-3×240+1×120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-60X5mm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离子接地极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FF-10C  Φ57×3000mm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接地检测井</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300*300*210,SPT205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各种钢材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箱变基础埋件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材料2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型号2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升压变电站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主变部分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SZ11-100000/110，121±8×1.25%/37kV，Ud=10.5%，YNd11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中性点接地装置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主变有载调压开关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 配电装置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GIS断路器间隔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126kV  2000A  40kA/4s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 PT间隔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YH10WZ-108/281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钢芯铝绞线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LGJ-300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千米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耐张绝缘子串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9×XWP-100，泄露比距450mm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NY-240/30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T型线夹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门构架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h=10m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35kV出线开关柜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出线</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35kV进线开关柜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35kV站用变柜开关柜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35kV接地变柜开关柜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接地变柜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PT柜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PT柜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35kV无功补偿柜开关柜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无功补偿柜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SCB11-400   37kV/0.4kV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SVG无功补偿装置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Ue=35kV，20MVar</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绝缘铜管母线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  2500A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单相米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35kV接地变小电阻成套装置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DKSC-150/37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ZB-YJY23-26/35kV-3*95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35kV电缆终端头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户内，冷缩型</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每套三相</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400V设备及其他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0.4kV开关柜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MNS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照明动力配电箱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电缆头及附件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灯具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插座及开关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接地与防火封堵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防火材料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热镀锌角钢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∠60×5mm，长2500mm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-40×4mm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-25×4mm²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软铜线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避雷针</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独立避雷针，30m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电缆支架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4" w:name="_Toc5025911"/>
      <w:r w:rsidRPr="0021393C">
        <w:rPr>
          <w:rFonts w:cs="Times New Roman"/>
          <w:b/>
          <w:bCs/>
          <w:sz w:val="32"/>
          <w:szCs w:val="24"/>
        </w:rPr>
        <w:t xml:space="preserve">6.4 </w:t>
      </w:r>
      <w:r w:rsidRPr="0021393C">
        <w:rPr>
          <w:rFonts w:cs="Times New Roman"/>
          <w:b/>
          <w:bCs/>
          <w:sz w:val="32"/>
          <w:szCs w:val="24"/>
        </w:rPr>
        <w:t>电气二次</w:t>
      </w:r>
      <w:bookmarkEnd w:id="14"/>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操作员（主机）工作站1台、23英寸液晶显示器1台、鼠标键盘等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含软件等其他设备</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微机五防系统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含五防工作站、系统软件等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远动工作站屏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含远动主机2台，双机切换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网络通信屏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含网络交换机4台，规约转换器2台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GPS时钟对时屏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含时钟本体装置2台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含110kV线路测控装置1台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含主变测控装置2台，温度及档位变送器1套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公用测控屏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含公用测控装置2台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35kV线路保护测控装置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SVG保护测控装置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35kV线路保护测控装置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变电站继电保护及安全自动装置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保护及故障信息系统管理子站屏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含保信子站1台、网络交换机、软件等设备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故障录波屏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含故障录波装置、主机及软件等设备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含主保护装置1台，高、低压侧后备保护装置各1台，非电量保护装置1台，操作箱1台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含110kV光纤差动保护装置、操作箱各1台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35kV母线保护屏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含35kV母线保护装置1台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安稳装置屏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含频率电压紧急控制装置1台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变电站计量系统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关口计量屏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含关口电能表2只，电能量采集终端1台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电能表屏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含主变电能表1只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多功能电能表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有功0.5S级、无功2.0级；双RS485通讯口</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进线6只、站用变1只、接地变1只、无功补偿1只、安装于高压开关柜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电能质量监测屏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含电能质量监测分析装置1台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变电站辅助电源系统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直流系统充电屏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DC220V，电源模块20A，2+1配置；含直流系统监控单元、蓄电池监测装置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直流系统馈线屏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阀控式密封铅酸蓄电池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200Ah/220V，104只，组架安装。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UPS不间断电源电源屏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不间断电源装置2台,7.5kVA,双机互为备用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继电保护试验电源屏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含监控主机工作站、风机监控柜、风机现地控制装置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风机功率预测预报系统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含工作站、风机功率预测预报系统、测风塔及系统软件、应用软件等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变电站二次安防系统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含隔离装置、防火墙、纵向加密认证装置和互联交换机等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AGC/AVC系统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含AVC/AGC服务器、OPC网关机、以太网交换机、AVC/AGC系统软件等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国家风电信息上报系统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变电站视频监控系统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综合布线系统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六</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控制电缆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ZRB-KVVP2-22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超六类屏蔽双绞线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5" w:name="_Toc5025912"/>
      <w:r w:rsidRPr="0021393C">
        <w:rPr>
          <w:rFonts w:cs="Times New Roman"/>
          <w:b/>
          <w:bCs/>
          <w:sz w:val="32"/>
          <w:szCs w:val="24"/>
        </w:rPr>
        <w:t xml:space="preserve">6.5 </w:t>
      </w:r>
      <w:r w:rsidRPr="0021393C">
        <w:rPr>
          <w:rFonts w:cs="Times New Roman"/>
          <w:b/>
          <w:bCs/>
          <w:sz w:val="32"/>
          <w:szCs w:val="24"/>
        </w:rPr>
        <w:t>系统通信</w:t>
      </w:r>
      <w:bookmarkEnd w:id="15"/>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熔接盒1个、环网交换机1台、跳线等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光缆GYTA53 24B1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24芯、单模、G.652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OPGW-24B1-50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OPGW-48B1-50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通信直流充馈电屏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电源模块30A，2+1配置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-48V/200Ah</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程控数字调度交换机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系统通信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综合配线屏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含DDF、VDF、ODF配线架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PCM设备屏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含PCM设备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光端机屏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含SDH光传输设备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2套，每面各1套</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调度数据网屏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含接入交换机2台、E1接口板2台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含接入路由器1台、以太网光接口模块2台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管道光缆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676501">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5025913"/>
      <w:r w:rsidRPr="0021393C">
        <w:rPr>
          <w:rFonts w:cs="Times New Roman"/>
          <w:b/>
          <w:bCs/>
          <w:sz w:val="32"/>
          <w:szCs w:val="32"/>
        </w:rPr>
        <w:lastRenderedPageBreak/>
        <w:t>6.6</w:t>
      </w:r>
      <w:r w:rsidRPr="0021393C">
        <w:rPr>
          <w:rFonts w:cs="Times New Roman"/>
          <w:b/>
          <w:bCs/>
          <w:sz w:val="32"/>
          <w:szCs w:val="32"/>
        </w:rPr>
        <w:t>集电线路</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7" w:name="_Ref516755581"/>
      <w:r w:rsidRPr="0021393C">
        <w:rPr>
          <w:rFonts w:cs="Times New Roman" w:hint="eastAsia"/>
          <w:b/>
          <w:sz w:val="21"/>
          <w:szCs w:val="21"/>
        </w:rPr>
        <w:t>表</w:t>
      </w:r>
      <w:r w:rsidRPr="0021393C">
        <w:rPr>
          <w:rFonts w:cs="Times New Roman" w:hint="eastAsia"/>
          <w:b/>
          <w:sz w:val="21"/>
          <w:szCs w:val="21"/>
        </w:rPr>
        <w:t xml:space="preserve">6.6- </w:t>
      </w:r>
      <w:bookmarkEnd w:id="17"/>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8"/>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19"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0"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0"/>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tbl>
    <w:p w:rsidR="00D1197B" w:rsidRPr="0021393C" w:rsidRDefault="00D1197B" w:rsidP="00D1197B">
      <w:pPr>
        <w:widowControl/>
        <w:spacing w:line="240" w:lineRule="auto"/>
        <w:ind w:firstLineChars="0" w:firstLine="0"/>
        <w:jc w:val="left"/>
        <w:rPr>
          <w:rFonts w:asciiTheme="minorHAnsi" w:eastAsiaTheme="minorEastAsia" w:hAnsiTheme="minorHAnsi"/>
          <w:sz w:val="21"/>
          <w:szCs w:val="21"/>
        </w:rPr>
      </w:pPr>
      <w:r w:rsidRPr="0021393C">
        <w:rPr>
          <w:rFonts w:asciiTheme="minorHAnsi" w:eastAsiaTheme="minorEastAsia" w:hAnsiTheme="minorHAnsi"/>
          <w:sz w:val="21"/>
          <w:szCs w:val="21"/>
        </w:rPr>
        <w:br w:type="page"/>
      </w:r>
    </w:p>
    <w:bookmarkEnd w:id="5"/>
    <w:p w:rsidR="007A7D74" w:rsidRPr="008108AF" w:rsidRDefault="007A7D74" w:rsidP="002F56B3">
      <w:pPr>
        <w:ind w:firstLineChars="0" w:firstLine="0"/>
        <w:rPr>
          <w:szCs w:val="24"/>
          <w:lang w:val="en-GB"/>
        </w:rPr>
        <w:sectPr w:rsidR="007A7D74" w:rsidRPr="008108AF" w:rsidSect="00783E08">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pP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15"/>
          <w:headerReference w:type="default" r:id="rId16"/>
          <w:footerReference w:type="even" r:id="rId17"/>
          <w:footerReference w:type="default" r:id="rId18"/>
          <w:pgSz w:w="11906" w:h="16838"/>
          <w:pgMar w:top="1440" w:right="1800" w:bottom="1440" w:left="1800" w:header="851" w:footer="992" w:gutter="0"/>
          <w:cols w:space="425"/>
          <w:docGrid w:type="lines" w:linePitch="312"/>
        </w:sectPr>
      </w:pP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Look w:val="04A0" w:firstRow="1" w:lastRow="0" w:firstColumn="1" w:lastColumn="0" w:noHBand="0" w:noVBand="1"/>
      </w:tblPr>
      <w:tblGrid>
        <w:gridCol w:w="647"/>
        <w:gridCol w:w="1718"/>
        <w:gridCol w:w="1036"/>
        <w:gridCol w:w="535"/>
        <w:gridCol w:w="94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28"/>
      </w:tblGrid>
      <w:tr w:rsidR="0014770B" w:rsidRPr="0014770B" w:rsidTr="00497FF9">
        <w:trPr>
          <w:trHeight w:val="270"/>
        </w:trPr>
        <w:tc>
          <w:tcPr>
            <w:tcW w:w="15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12"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4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54"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828" w:type="pct"/>
            <w:gridSpan w:val="20"/>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5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49"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29"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226"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1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折旧费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68565.48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1906.12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2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维修费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18751.92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3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工资及福利</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4797.00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117.00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4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保险费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3432.27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83.71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5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材料费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3075.00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6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摊销费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7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利息支出</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8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5125.00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Layout w:type="fixed"/>
        <w:tblLook w:val="04A0" w:firstRow="1" w:lastRow="0" w:firstColumn="1" w:lastColumn="0" w:noHBand="0" w:noVBand="1"/>
      </w:tblPr>
      <w:tblGrid>
        <w:gridCol w:w="415"/>
        <w:gridCol w:w="1851"/>
        <w:gridCol w:w="1130"/>
        <w:gridCol w:w="854"/>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74"/>
      </w:tblGrid>
      <w:tr w:rsidR="0014770B" w:rsidRPr="0014770B" w:rsidTr="00783E08">
        <w:trPr>
          <w:trHeight w:val="270"/>
        </w:trPr>
        <w:tc>
          <w:tcPr>
            <w:tcW w:w="9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7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4"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94"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783E08">
        <w:trPr>
          <w:trHeight w:val="270"/>
        </w:trPr>
        <w:tc>
          <w:tcPr>
            <w:tcW w:w="9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7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上网电量（</w:t>
            </w:r>
            <w:r w:rsidRPr="0014770B">
              <w:rPr>
                <w:rFonts w:cs="Times New Roman" w:hint="eastAsia"/>
                <w:sz w:val="18"/>
                <w:szCs w:val="18"/>
              </w:rPr>
              <w:t>MWh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电价（不含增值税）（元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电价（含增值税）</w:t>
            </w:r>
          </w:p>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城市维护建设税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教育费附加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补贴收入（应税）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利润总额（</w:t>
            </w:r>
            <w:r w:rsidRPr="0014770B">
              <w:rPr>
                <w:rFonts w:cs="Times New Roman" w:hint="eastAsia"/>
                <w:sz w:val="18"/>
                <w:szCs w:val="18"/>
              </w:rPr>
              <w:t>1-2-3+4</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弥补以前年度亏损</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2404.62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应纳税所得额（</w:t>
            </w:r>
            <w:r w:rsidRPr="0014770B">
              <w:rPr>
                <w:rFonts w:cs="Times New Roman" w:hint="eastAsia"/>
                <w:sz w:val="18"/>
                <w:szCs w:val="18"/>
              </w:rPr>
              <w:t>5-6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补贴收入（免税）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2198.52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2365.85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3034.63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2799.48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2942.90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2835.18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2978.59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3122.01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3265.43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3408.85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3301.13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3444.55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5058.70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净利润（</w:t>
            </w:r>
            <w:r w:rsidRPr="0014770B">
              <w:rPr>
                <w:rFonts w:cs="Times New Roman" w:hint="eastAsia"/>
                <w:sz w:val="18"/>
                <w:szCs w:val="18"/>
              </w:rPr>
              <w:t>5-8+9</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期初未分配的利润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2165.87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2519.30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2597.75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3327.43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3751.72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4344.13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4813.75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5438.11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6190.83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8081.34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8968.00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10009.39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11179.14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12333.83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14959.24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18818.69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22532.34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可供分配的利润（</w:t>
            </w:r>
            <w:r w:rsidRPr="0014770B">
              <w:rPr>
                <w:rFonts w:cs="Times New Roman" w:hint="eastAsia"/>
                <w:sz w:val="18"/>
                <w:szCs w:val="18"/>
              </w:rPr>
              <w:t>10+11</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7163.21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258.82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318.64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293.95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327.81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357.93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提取法定盈余公积金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2377.32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2288.45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2349.34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3008.79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3457.78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4035.12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4516.06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5125.36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6729.03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7723.41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8621.38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9647.71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10802.40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11957.09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14428.08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18141.74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21855.39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可供投资者分配的利润（</w:t>
            </w:r>
            <w:r w:rsidRPr="0014770B">
              <w:rPr>
                <w:rFonts w:cs="Times New Roman" w:hint="eastAsia"/>
                <w:sz w:val="18"/>
                <w:szCs w:val="18"/>
              </w:rPr>
              <w:t>12-13</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提取任意盈余公积金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19798.85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未分配利润（</w:t>
            </w:r>
            <w:r w:rsidRPr="0014770B">
              <w:rPr>
                <w:rFonts w:cs="Times New Roman" w:hint="eastAsia"/>
                <w:sz w:val="18"/>
                <w:szCs w:val="18"/>
              </w:rPr>
              <w:t>14-15-16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107863.33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5389.11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息税前利润（利润总额</w:t>
            </w:r>
            <w:r w:rsidRPr="0014770B">
              <w:rPr>
                <w:rFonts w:cs="Times New Roman" w:hint="eastAsia"/>
                <w:sz w:val="18"/>
                <w:szCs w:val="18"/>
              </w:rPr>
              <w:t>+</w:t>
            </w:r>
            <w:r w:rsidRPr="0014770B">
              <w:rPr>
                <w:rFonts w:cs="Times New Roman" w:hint="eastAsia"/>
                <w:sz w:val="18"/>
                <w:szCs w:val="18"/>
              </w:rPr>
              <w:t>利息支出）</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176428.81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9201.35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息税折旧摊销前利润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tblLook w:val="04A0" w:firstRow="1" w:lastRow="0" w:firstColumn="1" w:lastColumn="0" w:noHBand="0" w:noVBand="1"/>
      </w:tblPr>
      <w:tblGrid>
        <w:gridCol w:w="800"/>
        <w:gridCol w:w="1880"/>
        <w:gridCol w:w="1084"/>
        <w:gridCol w:w="778"/>
        <w:gridCol w:w="783"/>
        <w:gridCol w:w="841"/>
        <w:gridCol w:w="841"/>
        <w:gridCol w:w="841"/>
        <w:gridCol w:w="841"/>
        <w:gridCol w:w="841"/>
        <w:gridCol w:w="841"/>
        <w:gridCol w:w="841"/>
        <w:gridCol w:w="841"/>
        <w:gridCol w:w="841"/>
        <w:gridCol w:w="841"/>
        <w:gridCol w:w="841"/>
        <w:gridCol w:w="841"/>
        <w:gridCol w:w="841"/>
        <w:gridCol w:w="741"/>
        <w:gridCol w:w="741"/>
        <w:gridCol w:w="636"/>
        <w:gridCol w:w="636"/>
        <w:gridCol w:w="636"/>
        <w:gridCol w:w="636"/>
        <w:gridCol w:w="640"/>
      </w:tblGrid>
      <w:tr w:rsidR="0014770B" w:rsidRPr="0014770B" w:rsidTr="00497FF9">
        <w:trPr>
          <w:trHeight w:val="270"/>
        </w:trPr>
        <w:tc>
          <w:tcPr>
            <w:tcW w:w="19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2"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29"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497FF9" w:rsidRPr="0014770B" w:rsidTr="00497FF9">
        <w:trPr>
          <w:trHeight w:val="270"/>
        </w:trPr>
        <w:tc>
          <w:tcPr>
            <w:tcW w:w="19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长期借款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32241.36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年初借款余额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当期还本付息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74168.48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6283.15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6091.92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5900.70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5709.47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5518.24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5327.02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5135.79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4944.57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4753.34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4562.11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4370.89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4179.66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3988.43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3797.21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3605.98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本年还本</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22947.15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2868.39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2677.17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2485.94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2103.49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1912.26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1721.04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1529.81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1338.58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1147.36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956.13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764.91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573.68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382.45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191.23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期末借款余额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流动资金借款累计</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182.71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偿还流动资金借款本金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偿还短期借款本金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val="restart"/>
            <w:tcBorders>
              <w:top w:val="nil"/>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计算指标</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8.80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12.25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23.97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tcBorders>
              <w:top w:val="nil"/>
              <w:left w:val="single" w:sz="4" w:space="0" w:color="auto"/>
              <w:bottom w:val="single" w:sz="4" w:space="0" w:color="auto"/>
              <w:right w:val="single" w:sz="4" w:space="0" w:color="auto"/>
            </w:tcBorders>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偿债备付率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tblLook w:val="04A0" w:firstRow="1" w:lastRow="0" w:firstColumn="1" w:lastColumn="0" w:noHBand="0" w:noVBand="1"/>
      </w:tblPr>
      <w:tblGrid>
        <w:gridCol w:w="507"/>
        <w:gridCol w:w="2300"/>
        <w:gridCol w:w="847"/>
        <w:gridCol w:w="815"/>
        <w:gridCol w:w="815"/>
        <w:gridCol w:w="815"/>
        <w:gridCol w:w="815"/>
        <w:gridCol w:w="815"/>
        <w:gridCol w:w="815"/>
        <w:gridCol w:w="815"/>
        <w:gridCol w:w="815"/>
        <w:gridCol w:w="755"/>
        <w:gridCol w:w="755"/>
        <w:gridCol w:w="755"/>
        <w:gridCol w:w="755"/>
        <w:gridCol w:w="755"/>
        <w:gridCol w:w="755"/>
        <w:gridCol w:w="755"/>
        <w:gridCol w:w="755"/>
        <w:gridCol w:w="755"/>
        <w:gridCol w:w="755"/>
        <w:gridCol w:w="755"/>
        <w:gridCol w:w="755"/>
        <w:gridCol w:w="845"/>
        <w:gridCol w:w="845"/>
      </w:tblGrid>
      <w:tr w:rsidR="0014770B" w:rsidRPr="0014770B" w:rsidTr="00497FF9">
        <w:trPr>
          <w:trHeight w:val="270"/>
        </w:trPr>
        <w:tc>
          <w:tcPr>
            <w:tcW w:w="12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3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2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5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3"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113120.57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1614.41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所得税前净现金流量（</w:t>
            </w:r>
            <w:r w:rsidRPr="0014770B">
              <w:rPr>
                <w:rFonts w:cs="Times New Roman" w:hint="eastAsia"/>
                <w:sz w:val="18"/>
                <w:szCs w:val="18"/>
              </w:rPr>
              <w:t>1-2</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9384.51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8904.90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累计所得税前净现金流量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-33953.35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-23709.20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-14324.69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-5050.07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4224.54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13164.30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22104.06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31043.82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39983.57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48923.33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57528.24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66133.14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74738.04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83342.94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91947.85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100552.75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调整所得税</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21801.75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673.64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1688.41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所得税后净现金流量（</w:t>
            </w:r>
            <w:r w:rsidRPr="0014770B">
              <w:rPr>
                <w:rFonts w:cs="Times New Roman" w:hint="eastAsia"/>
                <w:sz w:val="18"/>
                <w:szCs w:val="18"/>
              </w:rPr>
              <w:t>3-5</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8710.87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6916.49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6453.68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6753.68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累计所得税后净现金流量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-34555.35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-24913.20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-16202.33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-8293.31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7273.59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14931.47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22589.35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30247.23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37905.11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45311.84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52718.58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60125.32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67532.06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74448.55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80902.23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tblLook w:val="04A0" w:firstRow="1" w:lastRow="0" w:firstColumn="1" w:lastColumn="0" w:noHBand="0" w:noVBand="1"/>
      </w:tblPr>
      <w:tblGrid>
        <w:gridCol w:w="698"/>
        <w:gridCol w:w="1773"/>
        <w:gridCol w:w="1091"/>
        <w:gridCol w:w="745"/>
        <w:gridCol w:w="833"/>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55"/>
      </w:tblGrid>
      <w:tr w:rsidR="0014770B" w:rsidRPr="0014770B" w:rsidTr="00497FF9">
        <w:trPr>
          <w:trHeight w:val="270"/>
        </w:trPr>
        <w:tc>
          <w:tcPr>
            <w:tcW w:w="167"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24"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7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7"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24"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6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156691.30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7428.13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7236.91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7045.68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7336.06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7383.65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7710.38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7566.96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7674.68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7531.26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7387.84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7244.42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7101.00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7208.73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7065.31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4460.19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4660.20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借款本金偿还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51421.34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借款利息支付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2.6</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r w:rsidRPr="0014770B">
              <w:rPr>
                <w:rFonts w:cs="Times New Roman" w:hint="eastAsia"/>
                <w:sz w:val="18"/>
                <w:szCs w:val="18"/>
              </w:rPr>
              <w:t>1-2</w:t>
            </w:r>
            <w:r w:rsidRPr="0014770B">
              <w:rPr>
                <w:rFonts w:cs="Times New Roman" w:hint="eastAsia"/>
                <w:sz w:val="18"/>
                <w:szCs w:val="18"/>
              </w:rPr>
              <w:t>）</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4287.16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4478.39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4669.61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4379.23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3615.27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3196.96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3340.38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3376.08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3662.92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3698.62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6909.97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6547.14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tblLook w:val="04A0" w:firstRow="1" w:lastRow="0" w:firstColumn="1" w:lastColumn="0" w:noHBand="0" w:noVBand="1"/>
      </w:tblPr>
      <w:tblGrid>
        <w:gridCol w:w="671"/>
        <w:gridCol w:w="2421"/>
        <w:gridCol w:w="1051"/>
        <w:gridCol w:w="817"/>
        <w:gridCol w:w="817"/>
        <w:gridCol w:w="758"/>
        <w:gridCol w:w="758"/>
        <w:gridCol w:w="757"/>
        <w:gridCol w:w="757"/>
        <w:gridCol w:w="757"/>
        <w:gridCol w:w="757"/>
        <w:gridCol w:w="757"/>
        <w:gridCol w:w="757"/>
        <w:gridCol w:w="757"/>
        <w:gridCol w:w="757"/>
        <w:gridCol w:w="757"/>
        <w:gridCol w:w="757"/>
        <w:gridCol w:w="757"/>
        <w:gridCol w:w="757"/>
        <w:gridCol w:w="757"/>
        <w:gridCol w:w="757"/>
        <w:gridCol w:w="757"/>
        <w:gridCol w:w="757"/>
        <w:gridCol w:w="757"/>
        <w:gridCol w:w="762"/>
      </w:tblGrid>
      <w:tr w:rsidR="0014770B" w:rsidRPr="0014770B" w:rsidTr="00497FF9">
        <w:trPr>
          <w:trHeight w:val="270"/>
        </w:trPr>
        <w:tc>
          <w:tcPr>
            <w:tcW w:w="16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62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78"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165863.55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9930.08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9906.18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8950.99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8341.46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7994.70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7946.89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7899.09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7851.28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7803.47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7504.53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7456.72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6918.67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234305.91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增值税销项税额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32318.06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补贴收入（不含增值税优惠）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68442.36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1809.12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2764.31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3421.65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3720.60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3768.40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3864.02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3911.82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4210.77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4258.58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4796.63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增值税进项税额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投资活动净现金流量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筹资活动净现金流量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-37960.85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75961.86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48015.03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项目资本金投入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49627.01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18458.27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31168.74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债券</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113922.71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各种利息支出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偿还债务本金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应付利润（股利分配）</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2571.34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2613.07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2155.37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2322.69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1558.73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1140.42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1176.12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1319.54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1462.95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1749.79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1642.07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4853.42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4390.61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4190.60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累计盈余资金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tblLook w:val="04A0" w:firstRow="1" w:lastRow="0" w:firstColumn="1" w:lastColumn="0" w:noHBand="0" w:noVBand="1"/>
      </w:tblPr>
      <w:tblGrid>
        <w:gridCol w:w="694"/>
        <w:gridCol w:w="2432"/>
        <w:gridCol w:w="786"/>
        <w:gridCol w:w="790"/>
        <w:gridCol w:w="787"/>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1197"/>
      </w:tblGrid>
      <w:tr w:rsidR="0014770B" w:rsidRPr="00497FF9" w:rsidTr="00497FF9">
        <w:trPr>
          <w:trHeight w:val="270"/>
        </w:trPr>
        <w:tc>
          <w:tcPr>
            <w:tcW w:w="166"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序号</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项目</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建设期</w:t>
            </w:r>
          </w:p>
        </w:tc>
        <w:tc>
          <w:tcPr>
            <w:tcW w:w="387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运行期</w:t>
            </w:r>
          </w:p>
        </w:tc>
      </w:tr>
      <w:tr w:rsidR="00497FF9" w:rsidRPr="00497FF9" w:rsidTr="00497FF9">
        <w:trPr>
          <w:trHeight w:val="270"/>
        </w:trPr>
        <w:tc>
          <w:tcPr>
            <w:tcW w:w="166"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58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21</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22</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20300.22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累计盈余资金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52368.87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300.00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在建工程</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48359.62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固定资产净值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23820.71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62847.12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59034.88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55222.64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51410.40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47598.16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43785.92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36161.43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32349.19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28536.95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24724.71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20912.47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17100.23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13287.99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9475.75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5663.51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无形及其他资产净值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可抵扣增值税形成资产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2741.70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6646.77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5030.86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1799.06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负债及所有者权益（</w:t>
            </w:r>
            <w:r w:rsidRPr="00497FF9">
              <w:rPr>
                <w:rFonts w:hint="eastAsia"/>
                <w:sz w:val="18"/>
                <w:szCs w:val="18"/>
              </w:rPr>
              <w:t>2.4+2.5</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流动负债总额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本年短期借款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其他</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建设投资借款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流动资金借款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负债小计（</w:t>
            </w:r>
            <w:r w:rsidRPr="00497FF9">
              <w:rPr>
                <w:rFonts w:hint="eastAsia"/>
                <w:sz w:val="18"/>
                <w:szCs w:val="18"/>
              </w:rPr>
              <w:t>2.1+2.2+2.3</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48006.58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44591.83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41177.07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37762.32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34347.56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30932.81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27518.05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24103.30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20688.54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17273.79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13859.03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10444.28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7029.52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3614.77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所有者权益</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23372.66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25646.43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26204.38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26804.06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26946.04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27255.34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28233.43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28976.36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29862.71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30641.34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31563.39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32628.86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33837.75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35190.06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36434.64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37822.65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39354.08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40885.50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43887.66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48278.27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25706.81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资本公积</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累计盈余公积金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497.57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1255.73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1574.37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2475.01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2787.76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3115.58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3458.45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4163.00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4524.67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4901.41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5278.15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5809.31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6486.26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7163.21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累计未分配利润</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19798.85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资产负债平衡</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747" w:type="pct"/>
            <w:gridSpan w:val="2"/>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计算指标：资产负债率（</w:t>
            </w:r>
            <w:r w:rsidRPr="00497FF9">
              <w:rPr>
                <w:rFonts w:hint="eastAsia"/>
                <w:sz w:val="18"/>
                <w:szCs w:val="18"/>
              </w:rPr>
              <w:t>%</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66.67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68.93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9"/>
          <w:headerReference w:type="default" r:id="rId20"/>
          <w:pgSz w:w="23814" w:h="16839" w:orient="landscape" w:code="8"/>
          <w:pgMar w:top="1800" w:right="1440" w:bottom="1800" w:left="1440" w:header="624" w:footer="992" w:gutter="0"/>
          <w:cols w:space="425"/>
          <w:docGrid w:type="lines" w:linePitch="326"/>
        </w:sectPr>
      </w:pPr>
    </w:p>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8A7" w:rsidRDefault="00D708A7" w:rsidP="004B4861">
      <w:pPr>
        <w:spacing w:line="240" w:lineRule="auto"/>
        <w:ind w:firstLine="480"/>
      </w:pPr>
      <w:r>
        <w:separator/>
      </w:r>
    </w:p>
  </w:endnote>
  <w:endnote w:type="continuationSeparator" w:id="0">
    <w:p w:rsidR="00D708A7" w:rsidRDefault="00D708A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DA65E9A-A6E5-4BFD-BEBD-45695BE3609C}"/>
    <w:embedBold r:id="rId2" w:fontKey="{26173EB5-7D83-4076-A079-31D5F1CE50F1}"/>
    <w:embedItalic r:id="rId3" w:fontKey="{0C348F13-C246-483E-91F2-A150111C6298}"/>
  </w:font>
  <w:font w:name="Calibri">
    <w:panose1 w:val="020F0502020204030204"/>
    <w:charset w:val="00"/>
    <w:family w:val="swiss"/>
    <w:pitch w:val="variable"/>
    <w:sig w:usb0="E0002AFF" w:usb1="C000247B" w:usb2="00000009" w:usb3="00000000" w:csb0="000001FF" w:csb1="00000000"/>
    <w:embedRegular r:id="rId4" w:fontKey="{3667C0BB-AC24-4D8E-830E-9B591339DD7E}"/>
    <w:embedBold r:id="rId5" w:fontKey="{320400E0-8ACB-49CF-9E17-95562E8B48A2}"/>
    <w:embedItalic r:id="rId6" w:fontKey="{D63E7BF3-7D39-4BC0-9C07-70B314ABF86C}"/>
  </w:font>
  <w:font w:name="宋体">
    <w:altName w:val="SimSun"/>
    <w:panose1 w:val="02010600030101010101"/>
    <w:charset w:val="86"/>
    <w:family w:val="auto"/>
    <w:pitch w:val="variable"/>
    <w:sig w:usb0="00000003" w:usb1="288F0000" w:usb2="00000016" w:usb3="00000000" w:csb0="00040001" w:csb1="00000000"/>
    <w:embedRegular r:id="rId7" w:subsetted="1" w:fontKey="{87B890AA-BB52-4A2F-92AC-BBCDA6FAC543}"/>
    <w:embedBold r:id="rId8" w:subsetted="1" w:fontKey="{89CEDAB6-F299-470D-8EBF-5EF8E1D5934D}"/>
  </w:font>
  <w:font w:name="Calibri Light">
    <w:panose1 w:val="020F0302020204030204"/>
    <w:charset w:val="00"/>
    <w:family w:val="swiss"/>
    <w:pitch w:val="variable"/>
    <w:sig w:usb0="E0002AFF" w:usb1="C000247B" w:usb2="00000009" w:usb3="00000000" w:csb0="000001FF" w:csb1="00000000"/>
    <w:embedRegular r:id="rId9" w:fontKey="{FC36AB5A-9C5D-4F8B-8E88-EE62A3578480}"/>
    <w:embedBold r:id="rId10" w:fontKey="{C5FA523D-69EC-4DEA-A2E6-0C587897D61D}"/>
  </w:font>
  <w:font w:name="黑体">
    <w:altName w:val="SimHei"/>
    <w:panose1 w:val="02010609060101010101"/>
    <w:charset w:val="86"/>
    <w:family w:val="modern"/>
    <w:pitch w:val="fixed"/>
    <w:sig w:usb0="800002BF" w:usb1="38CF7CFA" w:usb2="00000016" w:usb3="00000000" w:csb0="00040001" w:csb1="00000000"/>
    <w:embedRegular r:id="rId11" w:subsetted="1" w:fontKey="{2FF53001-0499-4168-B2F1-36F1700762A1}"/>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699DC99-D47B-4A54-98B4-120A504F9CF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252C5F47-19EE-48B2-BC0B-B484968FABF6}"/>
  </w:font>
  <w:font w:name="Cambria">
    <w:panose1 w:val="02040503050406030204"/>
    <w:charset w:val="00"/>
    <w:family w:val="roman"/>
    <w:pitch w:val="variable"/>
    <w:sig w:usb0="E00006FF" w:usb1="420024FF" w:usb2="02000000" w:usb3="00000000" w:csb0="0000019F" w:csb1="00000000"/>
    <w:embedBold r:id="rId14" w:fontKey="{0D9C10A4-1001-40FD-B565-099C0CE5C90F}"/>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E70721DA-08F6-4B13-9F01-5697A4A7467B}"/>
  </w:font>
  <w:font w:name="楷体">
    <w:panose1 w:val="02010609060101010101"/>
    <w:charset w:val="86"/>
    <w:family w:val="modern"/>
    <w:pitch w:val="fixed"/>
    <w:sig w:usb0="800002BF" w:usb1="38CF7CFA" w:usb2="00000016" w:usb3="00000000" w:csb0="00040001" w:csb1="00000000"/>
    <w:embedRegular r:id="rId16" w:subsetted="1" w:fontKey="{69694471-C618-4348-BEBE-C1B6307A890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5022D0" w:rsidRDefault="00D708A7" w:rsidP="00783E08">
        <w:pPr>
          <w:pStyle w:val="a7"/>
          <w:pBdr>
            <w:top w:val="single" w:sz="4" w:space="1" w:color="auto"/>
          </w:pBdr>
          <w:ind w:firstLine="360"/>
        </w:pPr>
        <w:sdt>
          <w:sdtPr>
            <w:id w:val="-1363049015"/>
            <w:docPartObj>
              <w:docPartGallery w:val="Page Numbers (Bottom of Page)"/>
              <w:docPartUnique/>
            </w:docPartObj>
          </w:sdtPr>
          <w:sdtEndPr/>
          <w:sdtContent>
            <w:r w:rsidR="005022D0">
              <w:fldChar w:fldCharType="begin"/>
            </w:r>
            <w:r w:rsidR="005022D0">
              <w:instrText>PAGE   \* MERGEFORMAT</w:instrText>
            </w:r>
            <w:r w:rsidR="005022D0">
              <w:fldChar w:fldCharType="separate"/>
            </w:r>
            <w:r w:rsidR="00A533D9" w:rsidRPr="00A533D9">
              <w:rPr>
                <w:noProof/>
                <w:lang w:val="zh-CN"/>
              </w:rPr>
              <w:t>50</w:t>
            </w:r>
            <w:r w:rsidR="005022D0">
              <w:fldChar w:fldCharType="end"/>
            </w:r>
            <w:r w:rsidR="005022D0">
              <w:t xml:space="preserve">                                                 </w:t>
            </w:r>
            <w:r w:rsidR="005022D0">
              <w:rPr>
                <w:rFonts w:ascii="楷体" w:eastAsia="楷体" w:hAnsi="楷体" w:hint="eastAsia"/>
              </w:rPr>
              <w:t>深圳智润新能源电力勘测设计院有限公司</w:t>
            </w:r>
          </w:sdtContent>
        </w:sdt>
      </w:p>
      <w:p w:rsidR="005022D0" w:rsidRDefault="00D708A7" w:rsidP="00783E08">
        <w:pPr>
          <w:pStyle w:val="a7"/>
          <w:pBdr>
            <w:top w:val="single" w:sz="4" w:space="1" w:color="auto"/>
          </w:pBdr>
          <w:ind w:firstLine="360"/>
        </w:pP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5022D0" w:rsidRPr="00664E6B" w:rsidRDefault="00D708A7"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5022D0">
              <w:rPr>
                <w:rFonts w:ascii="楷体" w:eastAsia="楷体" w:hAnsi="楷体" w:hint="eastAsia"/>
              </w:rPr>
              <w:t xml:space="preserve">深圳智润新能源电力勘测设计院有限公司  </w:t>
            </w:r>
            <w:r w:rsidR="005022D0">
              <w:rPr>
                <w:rFonts w:ascii="楷体" w:eastAsia="楷体" w:hAnsi="楷体"/>
              </w:rPr>
              <w:t xml:space="preserve">                                                           </w:t>
            </w:r>
            <w:r w:rsidR="005022D0">
              <w:fldChar w:fldCharType="begin"/>
            </w:r>
            <w:r w:rsidR="005022D0">
              <w:instrText>PAGE   \* MERGEFORMAT</w:instrText>
            </w:r>
            <w:r w:rsidR="005022D0">
              <w:fldChar w:fldCharType="separate"/>
            </w:r>
            <w:r w:rsidR="00A533D9" w:rsidRPr="00A533D9">
              <w:rPr>
                <w:noProof/>
                <w:lang w:val="zh-CN"/>
              </w:rPr>
              <w:t>49</w:t>
            </w:r>
            <w:r w:rsidR="005022D0">
              <w:fldChar w:fldCharType="end"/>
            </w:r>
          </w:sdtContent>
        </w:sdt>
      </w:p>
    </w:sdtContent>
  </w:sdt>
  <w:p w:rsidR="005022D0" w:rsidRDefault="005022D0">
    <w:pPr>
      <w:ind w:firstLine="48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8A7" w:rsidRDefault="00D708A7" w:rsidP="004B4861">
      <w:pPr>
        <w:spacing w:line="240" w:lineRule="auto"/>
        <w:ind w:firstLine="480"/>
      </w:pPr>
      <w:r>
        <w:separator/>
      </w:r>
    </w:p>
  </w:footnote>
  <w:footnote w:type="continuationSeparator" w:id="0">
    <w:p w:rsidR="00D708A7" w:rsidRDefault="00D708A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both"/>
    </w:pPr>
    <w:r w:rsidRPr="00591C77">
      <w:rPr>
        <w:rFonts w:eastAsiaTheme="minorEastAsia"/>
        <w:noProof/>
      </w:rPr>
      <w:drawing>
        <wp:inline distT="0" distB="0" distL="0" distR="0" wp14:anchorId="45F046CE" wp14:editId="2DD91BF6">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D127F02" wp14:editId="499F7D57">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08A7"/>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martTagType w:namespaceuri="urn:schemas-microsoft-com:office:smarttags" w:name="chmetcnv"/>
  <w:shapeDefaults>
    <o:shapedefaults v:ext="edit" spidmax="2049"/>
    <o:shapelayout v:ext="edit">
      <o:idmap v:ext="edit" data="1"/>
    </o:shapelayout>
  </w:shapeDefaults>
  <w:decimalSymbol w:val="."/>
  <w:listSeparator w:val=","/>
  <w14:docId w14:val="6C13F1F9"/>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0" Type="http://schemas.openxmlformats.org/officeDocument/2006/relationships/header" Target="header7.xml"/><Relationship Id="rId12" Type="http://schemas.openxmlformats.org/officeDocument/2006/relationships/footer" Target="footer2.xml"/><Relationship Id="rId6" Type="http://schemas.openxmlformats.org/officeDocument/2006/relationships/footnotes" Target="footnotes.xml"/><Relationship Id="rId9" Type="http://schemas.openxmlformats.org/officeDocument/2006/relationships/header" Target="header1.xml"/><Relationship Id="rId21" Type="http://schemas.openxmlformats.org/officeDocument/2006/relationships/fontTable" Target="fontTable.xml"/><Relationship Id="rId11" Type="http://schemas.openxmlformats.org/officeDocument/2006/relationships/footer" Target="footer1.xml"/><Relationship Id="rId22" Type="http://schemas.openxmlformats.org/officeDocument/2006/relationships/theme" Target="theme/theme1.xml"/><Relationship Id="rId18" Type="http://schemas.openxmlformats.org/officeDocument/2006/relationships/footer" Target="footer5.xml"/><Relationship Id="rId10" Type="http://schemas.openxmlformats.org/officeDocument/2006/relationships/header" Target="header2.xml"/><Relationship Id="rId8" Type="http://schemas.openxmlformats.org/officeDocument/2006/relationships/image" Target="media/image1.png"/><Relationship Id="rId13" Type="http://schemas.openxmlformats.org/officeDocument/2006/relationships/header" Target="header3.xml"/><Relationship Id="rId15" Type="http://schemas.openxmlformats.org/officeDocument/2006/relationships/header" Target="header4.xml"/><Relationship Id="rId1" Type="http://schemas.openxmlformats.org/officeDocument/2006/relationships/customXml" Target="../customXml/item1.xml"/><Relationship Id="rId4" Type="http://schemas.openxmlformats.org/officeDocument/2006/relationships/settings" Target="settings.xml"/><Relationship Id="rId5" Type="http://schemas.openxmlformats.org/officeDocument/2006/relationships/webSettings" Target="webSettings.xml"/><Relationship Id="rId7" Type="http://schemas.openxmlformats.org/officeDocument/2006/relationships/endnotes" Target="endnotes.xml"/><Relationship Id="rId2" Type="http://schemas.openxmlformats.org/officeDocument/2006/relationships/numbering" Target="numbering.xml"/><Relationship Id="rId14" Type="http://schemas.openxmlformats.org/officeDocument/2006/relationships/footer" Target="footer3.xml"/><Relationship Id="rId17" Type="http://schemas.openxmlformats.org/officeDocument/2006/relationships/footer" Target="footer4.xml"/><Relationship Id="rId3" Type="http://schemas.openxmlformats.org/officeDocument/2006/relationships/styles" Target="styles.xml"/><Relationship Id="rId16" Type="http://schemas.openxmlformats.org/officeDocument/2006/relationships/header" Target="header5.xml"/><Relationship Id="rId19" Type="http://schemas.openxmlformats.org/officeDocument/2006/relationships/header" Target="head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2" Type="http://schemas.openxmlformats.org/officeDocument/2006/relationships/font" Target="fonts/font12.odttf"/><Relationship Id="rId13" Type="http://schemas.openxmlformats.org/officeDocument/2006/relationships/font" Target="fonts/font13.odttf"/><Relationship Id="rId6" Type="http://schemas.openxmlformats.org/officeDocument/2006/relationships/font" Target="fonts/font6.odttf"/><Relationship Id="rId9" Type="http://schemas.openxmlformats.org/officeDocument/2006/relationships/font" Target="fonts/font9.odttf"/><Relationship Id="rId15" Type="http://schemas.openxmlformats.org/officeDocument/2006/relationships/font" Target="fonts/font15.odttf"/><Relationship Id="rId1" Type="http://schemas.openxmlformats.org/officeDocument/2006/relationships/font" Target="fonts/font1.odttf"/><Relationship Id="rId4" Type="http://schemas.openxmlformats.org/officeDocument/2006/relationships/font" Target="fonts/font4.odttf"/><Relationship Id="rId5" Type="http://schemas.openxmlformats.org/officeDocument/2006/relationships/font" Target="fonts/font5.odttf"/><Relationship Id="rId7" Type="http://schemas.openxmlformats.org/officeDocument/2006/relationships/font" Target="fonts/font7.odttf"/><Relationship Id="rId2" Type="http://schemas.openxmlformats.org/officeDocument/2006/relationships/font" Target="fonts/font2.odttf"/><Relationship Id="rId14" Type="http://schemas.openxmlformats.org/officeDocument/2006/relationships/font" Target="fonts/font14.odttf"/><Relationship Id="rId11" Type="http://schemas.openxmlformats.org/officeDocument/2006/relationships/font" Target="fonts/font11.odttf"/><Relationship Id="rId3" Type="http://schemas.openxmlformats.org/officeDocument/2006/relationships/font" Target="fonts/font3.odttf"/><Relationship Id="rId10" Type="http://schemas.openxmlformats.org/officeDocument/2006/relationships/font" Target="fonts/font10.odttf"/><Relationship Id="rId16" Type="http://schemas.openxmlformats.org/officeDocument/2006/relationships/font" Target="fonts/font16.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D0755-CFC1-49C6-B409-3ACA6AF2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50</Pages>
  <Words>7835</Words>
  <Characters>44662</Characters>
  <Application>Microsoft Office Word</Application>
  <DocSecurity>0</DocSecurity>
  <Lines>372</Lines>
  <Paragraphs>104</Paragraphs>
  <ScaleCrop>false</ScaleCrop>
  <Company>Microsoft</Company>
  <LinksUpToDate>false</LinksUpToDate>
  <CharactersWithSpaces>52393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26</cp:revision>
  <cp:lastPrinted>2019-04-01T12:01:00Z</cp:lastPrinted>
  <dcterms:created xsi:type="dcterms:W3CDTF">2019-07-02T07:21:00Z</dcterms:created>
  <dcterms:modified xsi:type="dcterms:W3CDTF">2019-07-18T08:00:00Z</dcterms:modified>
</cp:coreProperties>
</file>